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left"/>
      </w:pPr>
      <w:r>
        <w:rPr>
          <w:b/>
          <w:sz w:val="28"/>
        </w:rPr>
        <w:t xml:space="preserve">Conflict of Interest Policy</w:t>
      </w:r>
    </w:p>
    <w:p>
      <w:r>
        <w:t xml:space="preserve"/>
      </w:r>
    </w:p>
    <w:p>
      <w:r>
        <w:rPr>
          <w:sz w:val="22"/>
        </w:rPr>
        <w:t xml:space="preserve">Everyone is duty bound, under penalty of perjury, to disclose fully their existing business interests, shareholdings, personal activities or relationships that may directly or indirectly conflict with the performance of their intended duties and responsibilities. The Board evaluates whether such interests create actual conflicts, and employees must maintain fair dealings without allowing personal interests to compromise company interests.</w:t>
      </w:r>
    </w:p>
  </w:body>
</w:document>
</file>